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ED7F46" w:rsidRPr="00ED7F46" w:rsidRDefault="00336E9F" w:rsidP="00F83227">
      <w:pPr>
        <w:spacing w:before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“</w:t>
      </w:r>
      <w:r w:rsidR="001F3CA3">
        <w:rPr>
          <w:rFonts w:cs="Arial"/>
          <w:b/>
          <w:i/>
          <w:sz w:val="22"/>
          <w:szCs w:val="22"/>
        </w:rPr>
        <w:t>Clinical Laboratory Preparedness and Response Guide - What’s New?</w:t>
      </w:r>
      <w:r w:rsidR="00ED7F46">
        <w:rPr>
          <w:rFonts w:cs="Arial"/>
          <w:sz w:val="22"/>
          <w:szCs w:val="22"/>
        </w:rPr>
        <w:t>”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041</w:t>
      </w:r>
      <w:r w:rsidR="004E2161" w:rsidRPr="00B222BC">
        <w:rPr>
          <w:rFonts w:cs="Arial"/>
          <w:sz w:val="22"/>
          <w:szCs w:val="22"/>
        </w:rPr>
        <w:t>-1</w:t>
      </w:r>
      <w:r w:rsidR="001F3CA3">
        <w:rPr>
          <w:rFonts w:cs="Arial"/>
          <w:sz w:val="22"/>
          <w:szCs w:val="22"/>
        </w:rPr>
        <w:t>7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1F3CA3">
        <w:rPr>
          <w:rFonts w:cs="Arial"/>
          <w:sz w:val="22"/>
          <w:szCs w:val="22"/>
        </w:rPr>
        <w:t>January 18, 2017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r w:rsidR="005228AA" w:rsidRPr="00B222BC">
        <w:rPr>
          <w:sz w:val="22"/>
          <w:szCs w:val="22"/>
        </w:rPr>
        <w:t>Fax</w:t>
      </w:r>
      <w:r w:rsidR="00336E9F" w:rsidRPr="00B222BC">
        <w:rPr>
          <w:sz w:val="22"/>
          <w:szCs w:val="22"/>
        </w:rPr>
        <w:t xml:space="preserve"> the completed form to the </w:t>
      </w:r>
      <w:r w:rsidR="005228AA" w:rsidRPr="00B222BC">
        <w:rPr>
          <w:sz w:val="22"/>
          <w:szCs w:val="22"/>
        </w:rPr>
        <w:t>(608) 265-9091</w:t>
      </w:r>
      <w:r w:rsidR="00336E9F" w:rsidRPr="00B222BC">
        <w:rPr>
          <w:sz w:val="22"/>
          <w:szCs w:val="22"/>
        </w:rPr>
        <w:t>.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1F3CA3" w:rsidRPr="001F3CA3" w:rsidRDefault="008716AD" w:rsidP="001F3CA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00" w:lineRule="exact"/>
        <w:ind w:right="432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8716AD">
        <w:rPr>
          <w:rFonts w:cs="Arial"/>
          <w:iCs/>
          <w:sz w:val="22"/>
          <w:szCs w:val="22"/>
        </w:rPr>
        <w:t xml:space="preserve">Explain what </w:t>
      </w:r>
      <w:r w:rsidR="001F3CA3" w:rsidRPr="001F3CA3">
        <w:rPr>
          <w:rFonts w:cs="Arial"/>
          <w:iCs/>
          <w:sz w:val="22"/>
          <w:szCs w:val="22"/>
        </w:rPr>
        <w:t>the “Clinical Laboratory Preparedness and Response Guide” is</w:t>
      </w:r>
    </w:p>
    <w:p w:rsidR="005765D4" w:rsidRDefault="001F3CA3" w:rsidP="001F3C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1F3CA3">
        <w:rPr>
          <w:rFonts w:cs="Arial"/>
          <w:iCs/>
          <w:sz w:val="22"/>
          <w:szCs w:val="22"/>
        </w:rPr>
        <w:t>and</w:t>
      </w:r>
      <w:proofErr w:type="gramEnd"/>
      <w:r w:rsidRPr="001F3CA3">
        <w:rPr>
          <w:rFonts w:cs="Arial"/>
          <w:iCs/>
          <w:sz w:val="22"/>
          <w:szCs w:val="22"/>
        </w:rPr>
        <w:t xml:space="preserve"> where it can be accessed.</w:t>
      </w:r>
      <w:r w:rsidR="00B223AD" w:rsidRPr="001F3CA3">
        <w:rPr>
          <w:rFonts w:cs="Arial"/>
          <w:sz w:val="22"/>
          <w:szCs w:val="22"/>
        </w:rPr>
        <w:tab/>
      </w:r>
      <w:r w:rsidR="00FD2C46" w:rsidRPr="001F3CA3">
        <w:rPr>
          <w:rFonts w:cs="Arial"/>
          <w:sz w:val="22"/>
          <w:szCs w:val="22"/>
        </w:rPr>
        <w:t xml:space="preserve">     </w:t>
      </w:r>
      <w:r w:rsidR="00F83227" w:rsidRPr="001F3CA3">
        <w:rPr>
          <w:rFonts w:cs="Arial"/>
          <w:sz w:val="22"/>
          <w:szCs w:val="22"/>
        </w:rPr>
        <w:tab/>
      </w:r>
      <w:r w:rsidR="00F83227" w:rsidRPr="001F3CA3">
        <w:rPr>
          <w:rFonts w:cs="Arial"/>
          <w:sz w:val="22"/>
          <w:szCs w:val="22"/>
        </w:rPr>
        <w:tab/>
      </w:r>
      <w:r w:rsidR="00F83227" w:rsidRPr="001F3CA3">
        <w:rPr>
          <w:rFonts w:cs="Arial"/>
          <w:sz w:val="22"/>
          <w:szCs w:val="22"/>
        </w:rPr>
        <w:tab/>
      </w:r>
      <w:r w:rsidR="00ED7F46" w:rsidRPr="001F3CA3">
        <w:rPr>
          <w:rFonts w:cs="Arial"/>
          <w:sz w:val="22"/>
          <w:szCs w:val="22"/>
        </w:rPr>
        <w:t xml:space="preserve">            </w:t>
      </w:r>
      <w:r w:rsidR="00FD2C46" w:rsidRPr="001F3CA3">
        <w:rPr>
          <w:rFonts w:cs="Arial"/>
          <w:sz w:val="22"/>
          <w:szCs w:val="22"/>
        </w:rPr>
        <w:t xml:space="preserve">     </w:t>
      </w:r>
      <w:r w:rsidR="000207F5" w:rsidRPr="001F3CA3">
        <w:rPr>
          <w:rFonts w:cs="Arial"/>
          <w:sz w:val="22"/>
          <w:szCs w:val="22"/>
        </w:rPr>
        <w:t xml:space="preserve"> </w:t>
      </w:r>
      <w:r w:rsidR="00FD2C46" w:rsidRPr="001F3CA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5E431A" w:rsidRPr="001F3C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1F3C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1F3CA3">
        <w:rPr>
          <w:rFonts w:cs="Arial"/>
          <w:sz w:val="16"/>
          <w:szCs w:val="16"/>
          <w:lang w:val="fr-FR"/>
        </w:rPr>
        <w:t xml:space="preserve">     </w:t>
      </w:r>
      <w:r w:rsidR="000207F5" w:rsidRPr="001F3CA3">
        <w:rPr>
          <w:rFonts w:cs="Arial"/>
          <w:sz w:val="16"/>
          <w:szCs w:val="16"/>
          <w:lang w:val="fr-FR"/>
        </w:rPr>
        <w:t xml:space="preserve">        </w:t>
      </w:r>
      <w:r w:rsidR="00FD2C46" w:rsidRPr="001F3CA3">
        <w:rPr>
          <w:rFonts w:cs="Arial"/>
          <w:sz w:val="16"/>
          <w:szCs w:val="16"/>
          <w:lang w:val="fr-FR"/>
        </w:rPr>
        <w:t xml:space="preserve">    </w:t>
      </w:r>
      <w:r w:rsidR="000207F5" w:rsidRPr="001F3CA3">
        <w:rPr>
          <w:rFonts w:cs="Arial"/>
          <w:sz w:val="16"/>
          <w:szCs w:val="16"/>
          <w:lang w:val="fr-FR"/>
        </w:rPr>
        <w:t xml:space="preserve"> </w:t>
      </w:r>
      <w:r w:rsidR="005E431A" w:rsidRPr="001F3C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</w:p>
    <w:p w:rsidR="001F3CA3" w:rsidRPr="001F3CA3" w:rsidRDefault="001F3CA3" w:rsidP="001F3CA3">
      <w:pPr>
        <w:pStyle w:val="ListParagraph"/>
        <w:numPr>
          <w:ilvl w:val="0"/>
          <w:numId w:val="14"/>
        </w:numPr>
        <w:spacing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 w:rsidRPr="001F3CA3">
        <w:rPr>
          <w:rFonts w:cs="Arial"/>
          <w:iCs/>
          <w:sz w:val="22"/>
          <w:szCs w:val="22"/>
        </w:rPr>
        <w:t>Describe at least 3 situations when your laboratory would find it useful to refer</w:t>
      </w:r>
      <w:r>
        <w:rPr>
          <w:rFonts w:cs="Arial"/>
          <w:iCs/>
          <w:sz w:val="22"/>
          <w:szCs w:val="22"/>
        </w:rPr>
        <w:tab/>
      </w:r>
    </w:p>
    <w:p w:rsidR="00D56929" w:rsidRDefault="001F3CA3" w:rsidP="001F3CA3">
      <w:pPr>
        <w:spacing w:line="200" w:lineRule="exact"/>
        <w:ind w:firstLine="360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1F3CA3">
        <w:rPr>
          <w:rFonts w:cs="Arial"/>
          <w:iCs/>
          <w:sz w:val="22"/>
          <w:szCs w:val="22"/>
        </w:rPr>
        <w:t>to</w:t>
      </w:r>
      <w:proofErr w:type="gramEnd"/>
      <w:r w:rsidRPr="001F3CA3">
        <w:rPr>
          <w:rFonts w:cs="Arial"/>
          <w:iCs/>
          <w:sz w:val="22"/>
          <w:szCs w:val="22"/>
        </w:rPr>
        <w:t xml:space="preserve"> the “Clinical Laboratory Preparedness and Response Guide</w:t>
      </w:r>
      <w:r w:rsidR="00B223AD" w:rsidRPr="001F3CA3">
        <w:rPr>
          <w:rFonts w:cs="Arial"/>
          <w:sz w:val="22"/>
          <w:szCs w:val="22"/>
        </w:rPr>
        <w:t>.</w:t>
      </w:r>
      <w:r w:rsidR="001E2216" w:rsidRPr="001F3CA3">
        <w:rPr>
          <w:rFonts w:cs="Arial"/>
          <w:sz w:val="22"/>
          <w:szCs w:val="22"/>
        </w:rPr>
        <w:t xml:space="preserve"> </w:t>
      </w:r>
      <w:r w:rsidR="00FD2C46" w:rsidRPr="001F3CA3">
        <w:rPr>
          <w:rFonts w:cs="Arial"/>
          <w:sz w:val="22"/>
          <w:szCs w:val="22"/>
        </w:rPr>
        <w:t xml:space="preserve">  </w:t>
      </w:r>
      <w:r w:rsidR="008716AD" w:rsidRPr="001F3CA3">
        <w:rPr>
          <w:rFonts w:cs="Arial"/>
          <w:sz w:val="22"/>
          <w:szCs w:val="22"/>
        </w:rPr>
        <w:tab/>
      </w:r>
      <w:r w:rsidR="008716AD" w:rsidRPr="001F3CA3">
        <w:rPr>
          <w:rFonts w:cs="Arial"/>
          <w:sz w:val="22"/>
          <w:szCs w:val="22"/>
        </w:rPr>
        <w:tab/>
      </w:r>
      <w:r w:rsidR="008716AD" w:rsidRPr="001F3CA3">
        <w:rPr>
          <w:rFonts w:cs="Arial"/>
          <w:sz w:val="22"/>
          <w:szCs w:val="22"/>
        </w:rPr>
        <w:tab/>
      </w:r>
      <w:r w:rsidR="008716AD" w:rsidRPr="001F3CA3">
        <w:rPr>
          <w:rFonts w:cs="Arial"/>
          <w:sz w:val="22"/>
          <w:szCs w:val="22"/>
        </w:rPr>
        <w:tab/>
      </w:r>
      <w:r w:rsidR="008716AD" w:rsidRPr="001F3CA3">
        <w:rPr>
          <w:rFonts w:cs="Arial"/>
          <w:sz w:val="22"/>
          <w:szCs w:val="22"/>
        </w:rPr>
        <w:tab/>
      </w:r>
      <w:r w:rsidR="008716AD" w:rsidRPr="001F3CA3">
        <w:rPr>
          <w:rFonts w:cs="Arial"/>
          <w:sz w:val="22"/>
          <w:szCs w:val="22"/>
        </w:rPr>
        <w:tab/>
      </w:r>
      <w:r w:rsidR="00336E9F" w:rsidRPr="001F3C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1F3CA3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1F3CA3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1F3C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1F3C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1F3C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1F3C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1F3C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1F3C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1F3C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1F3CA3" w:rsidRPr="001F3CA3" w:rsidRDefault="001F3CA3" w:rsidP="001F3CA3">
      <w:pPr>
        <w:pStyle w:val="ListParagraph"/>
        <w:numPr>
          <w:ilvl w:val="0"/>
          <w:numId w:val="14"/>
        </w:numPr>
        <w:spacing w:line="240" w:lineRule="exact"/>
        <w:rPr>
          <w:rFonts w:eastAsia="Arial Unicode MS" w:cs="Arial"/>
          <w:b/>
          <w:bCs/>
          <w:sz w:val="20"/>
          <w:szCs w:val="20"/>
        </w:rPr>
      </w:pPr>
      <w:r>
        <w:rPr>
          <w:rFonts w:cs="Arial"/>
          <w:iCs/>
          <w:sz w:val="22"/>
          <w:szCs w:val="22"/>
        </w:rPr>
        <w:t>D</w:t>
      </w:r>
      <w:r w:rsidRPr="001F3CA3">
        <w:rPr>
          <w:rFonts w:cs="Arial"/>
          <w:iCs/>
          <w:sz w:val="22"/>
          <w:szCs w:val="22"/>
        </w:rPr>
        <w:t>iscuss some of the content that can be found in the “Clinical Laboratory</w:t>
      </w:r>
    </w:p>
    <w:p w:rsidR="001F3CA3" w:rsidRDefault="001F3CA3" w:rsidP="001F3CA3">
      <w:pPr>
        <w:spacing w:line="240" w:lineRule="exact"/>
        <w:ind w:firstLine="360"/>
        <w:rPr>
          <w:rFonts w:cs="Arial"/>
          <w:iCs/>
          <w:sz w:val="22"/>
          <w:szCs w:val="22"/>
        </w:rPr>
      </w:pPr>
      <w:r w:rsidRPr="001F3CA3">
        <w:rPr>
          <w:rFonts w:cs="Arial"/>
          <w:iCs/>
          <w:sz w:val="22"/>
          <w:szCs w:val="22"/>
        </w:rPr>
        <w:t>Preparedness and Response Guide” and why it is useful for all states to use</w:t>
      </w:r>
    </w:p>
    <w:p w:rsidR="00D172E8" w:rsidRPr="001F3CA3" w:rsidRDefault="001F3CA3" w:rsidP="001F3CA3">
      <w:pPr>
        <w:spacing w:line="240" w:lineRule="exact"/>
        <w:ind w:firstLine="360"/>
        <w:rPr>
          <w:rFonts w:eastAsia="Arial Unicode MS" w:cs="Arial"/>
          <w:b/>
          <w:bCs/>
          <w:sz w:val="20"/>
          <w:szCs w:val="20"/>
        </w:rPr>
      </w:pPr>
      <w:proofErr w:type="gramStart"/>
      <w:r w:rsidRPr="001F3CA3">
        <w:rPr>
          <w:rFonts w:cs="Arial"/>
          <w:iCs/>
          <w:sz w:val="22"/>
          <w:szCs w:val="22"/>
        </w:rPr>
        <w:t>the</w:t>
      </w:r>
      <w:proofErr w:type="gramEnd"/>
      <w:r w:rsidRPr="001F3CA3">
        <w:rPr>
          <w:rFonts w:cs="Arial"/>
          <w:iCs/>
          <w:sz w:val="22"/>
          <w:szCs w:val="22"/>
        </w:rPr>
        <w:t xml:space="preserve"> same guidance document</w:t>
      </w:r>
      <w:r w:rsidR="00FD2C46" w:rsidRPr="001F3CA3">
        <w:rPr>
          <w:rFonts w:cs="Arial"/>
          <w:iCs/>
          <w:sz w:val="22"/>
          <w:szCs w:val="22"/>
        </w:rPr>
        <w:t>.</w:t>
      </w:r>
      <w:r w:rsidR="00476BAD" w:rsidRPr="001F3CA3">
        <w:rPr>
          <w:rFonts w:cs="Arial"/>
          <w:sz w:val="22"/>
          <w:szCs w:val="22"/>
        </w:rPr>
        <w:tab/>
      </w:r>
      <w:r w:rsidR="00476BAD" w:rsidRPr="001F3CA3">
        <w:rPr>
          <w:rFonts w:cs="Arial"/>
          <w:sz w:val="22"/>
          <w:szCs w:val="22"/>
        </w:rPr>
        <w:tab/>
      </w:r>
      <w:r w:rsidR="00FD2C46" w:rsidRPr="001F3CA3">
        <w:rPr>
          <w:rFonts w:cs="Arial"/>
          <w:sz w:val="22"/>
          <w:szCs w:val="22"/>
        </w:rPr>
        <w:t xml:space="preserve">      </w:t>
      </w:r>
      <w:r w:rsidR="00F83227" w:rsidRPr="001F3CA3">
        <w:rPr>
          <w:rFonts w:cs="Arial"/>
          <w:sz w:val="22"/>
          <w:szCs w:val="22"/>
        </w:rPr>
        <w:tab/>
      </w:r>
      <w:r w:rsidR="008716AD" w:rsidRPr="001F3CA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bookmarkStart w:id="0" w:name="_GoBack"/>
      <w:bookmarkEnd w:id="0"/>
      <w:r w:rsidR="00336E9F" w:rsidRPr="001F3C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1F3CA3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1F3CA3">
        <w:rPr>
          <w:rFonts w:eastAsia="Arial Unicode MS" w:cs="Arial"/>
          <w:b/>
          <w:bCs/>
          <w:sz w:val="16"/>
          <w:szCs w:val="16"/>
        </w:rPr>
        <w:tab/>
      </w:r>
      <w:r w:rsidR="00E0560A" w:rsidRPr="001F3CA3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1F3CA3">
        <w:rPr>
          <w:rFonts w:eastAsia="Arial Unicode MS" w:cs="Arial"/>
          <w:b/>
          <w:bCs/>
          <w:sz w:val="16"/>
          <w:szCs w:val="16"/>
        </w:rPr>
        <w:tab/>
      </w:r>
      <w:r w:rsidR="00FD6A61" w:rsidRPr="001F3C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1F3CA3">
        <w:rPr>
          <w:rFonts w:eastAsia="Arial Unicode MS" w:cs="Arial"/>
          <w:b/>
          <w:bCs/>
          <w:sz w:val="16"/>
          <w:szCs w:val="16"/>
        </w:rPr>
        <w:tab/>
      </w:r>
      <w:r w:rsidR="00D348CB" w:rsidRPr="001F3C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1F3CA3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1F3C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="000269E7">
        <w:rPr>
          <w:b/>
          <w:sz w:val="22"/>
          <w:szCs w:val="22"/>
        </w:rPr>
        <w:t xml:space="preserve">  844-390-6233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2110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2017-01-17T18:46:00Z</dcterms:created>
  <dcterms:modified xsi:type="dcterms:W3CDTF">2017-01-17T18:55:00Z</dcterms:modified>
</cp:coreProperties>
</file>